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CBB2B" w14:textId="77777777" w:rsidR="00B1167E" w:rsidRPr="004D535B" w:rsidRDefault="00B1167E" w:rsidP="00B1167E">
      <w:pPr>
        <w:pStyle w:val="Ttulo2"/>
        <w:numPr>
          <w:ilvl w:val="0"/>
          <w:numId w:val="0"/>
        </w:numPr>
      </w:pPr>
      <w:r w:rsidRPr="004D535B">
        <w:t>Survey documentation for the Population and Housing Census</w:t>
      </w:r>
    </w:p>
    <w:p w14:paraId="61453C8E" w14:textId="77777777" w:rsidR="00B1167E" w:rsidRPr="004D535B" w:rsidRDefault="00B1167E" w:rsidP="00B1167E">
      <w:pPr>
        <w:spacing w:after="0" w:line="240" w:lineRule="auto"/>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38310EEB" w14:textId="77777777" w:rsidR="00B1167E" w:rsidRPr="004D535B" w:rsidRDefault="00B1167E" w:rsidP="00B1167E">
      <w:pPr>
        <w:spacing w:after="0" w:line="240" w:lineRule="auto"/>
        <w:rPr>
          <w:rFonts w:cstheme="minorHAnsi"/>
          <w:b/>
          <w:i/>
          <w:color w:val="333333"/>
          <w:sz w:val="21"/>
          <w:szCs w:val="21"/>
          <w:lang w:val="en-US"/>
        </w:rPr>
      </w:pPr>
      <w:r w:rsidRPr="004D535B">
        <w:rPr>
          <w:rFonts w:cstheme="minorHAnsi"/>
          <w:b/>
          <w:i/>
          <w:color w:val="333333"/>
          <w:sz w:val="21"/>
          <w:szCs w:val="21"/>
          <w:lang w:val="en-US"/>
        </w:rPr>
        <w:t>January 2022</w:t>
      </w:r>
    </w:p>
    <w:p w14:paraId="4D162676" w14:textId="77777777" w:rsidR="00B1167E" w:rsidRPr="004D535B" w:rsidRDefault="00B1167E" w:rsidP="00B1167E">
      <w:pPr>
        <w:spacing w:after="0" w:line="240" w:lineRule="auto"/>
        <w:rPr>
          <w:rFonts w:cstheme="minorHAnsi"/>
          <w:b/>
          <w:i/>
          <w:color w:val="333333"/>
          <w:sz w:val="21"/>
          <w:szCs w:val="21"/>
          <w:lang w:val="en-US"/>
        </w:rPr>
      </w:pPr>
      <w:r w:rsidRPr="004D535B">
        <w:rPr>
          <w:rFonts w:cstheme="minorHAnsi"/>
          <w:b/>
          <w:i/>
          <w:color w:val="333333"/>
          <w:sz w:val="21"/>
          <w:szCs w:val="21"/>
          <w:lang w:val="en-US"/>
        </w:rPr>
        <w:t>D R A F T</w:t>
      </w:r>
    </w:p>
    <w:p w14:paraId="65CE5595" w14:textId="77777777" w:rsidR="00B1167E" w:rsidRPr="004D535B" w:rsidRDefault="00B1167E" w:rsidP="00B1167E">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 xml:space="preserve">The documentation consists of three parts: 1. Reference metadata 2. Releases 3. Process documentation (details about goals, methodology, roles, </w:t>
      </w:r>
      <w:proofErr w:type="gramStart"/>
      <w:r w:rsidRPr="004D535B">
        <w:rPr>
          <w:rFonts w:eastAsia="Times New Roman" w:cstheme="minorHAnsi"/>
          <w:color w:val="333333"/>
          <w:sz w:val="21"/>
          <w:szCs w:val="21"/>
          <w:lang w:val="en-US" w:eastAsia="en-GB"/>
        </w:rPr>
        <w:t>processes</w:t>
      </w:r>
      <w:proofErr w:type="gramEnd"/>
      <w:r w:rsidRPr="004D535B">
        <w:rPr>
          <w:rFonts w:eastAsia="Times New Roman" w:cstheme="minorHAnsi"/>
          <w:color w:val="333333"/>
          <w:sz w:val="21"/>
          <w:szCs w:val="21"/>
          <w:lang w:val="en-US" w:eastAsia="en-GB"/>
        </w:rPr>
        <w:t xml:space="preserve"> and evaluation)</w:t>
      </w:r>
    </w:p>
    <w:p w14:paraId="37B6115E" w14:textId="77777777" w:rsidR="00B1167E" w:rsidRPr="004D535B" w:rsidRDefault="00B1167E" w:rsidP="00B1167E">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 xml:space="preserve">The main audience for the survey documentation is the staff working on the survey </w:t>
      </w:r>
      <w:proofErr w:type="gramStart"/>
      <w:r w:rsidRPr="004D535B">
        <w:rPr>
          <w:rFonts w:eastAsia="Times New Roman" w:cstheme="minorHAnsi"/>
          <w:color w:val="333333"/>
          <w:sz w:val="21"/>
          <w:szCs w:val="21"/>
          <w:lang w:val="en-US" w:eastAsia="en-GB"/>
        </w:rPr>
        <w:t>on a daily basis</w:t>
      </w:r>
      <w:proofErr w:type="gramEnd"/>
      <w:r w:rsidRPr="004D535B">
        <w:rPr>
          <w:rFonts w:eastAsia="Times New Roman" w:cstheme="minorHAnsi"/>
          <w:color w:val="333333"/>
          <w:sz w:val="21"/>
          <w:szCs w:val="21"/>
          <w:lang w:val="en-US" w:eastAsia="en-GB"/>
        </w:rPr>
        <w:t>. In addition, the documentation can be used a) when introducing new staff, and b) when preparing overall plans, conducting quality audits and functional reviews. Finally, the survey documentation can be used when preparing changes, e.g., new IT solutions.</w:t>
      </w:r>
    </w:p>
    <w:p w14:paraId="5EC50DA0"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48A8A218"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1.1 Contact information</w:t>
      </w:r>
    </w:p>
    <w:tbl>
      <w:tblPr>
        <w:tblW w:w="5000" w:type="pct"/>
        <w:tblCellMar>
          <w:top w:w="15" w:type="dxa"/>
          <w:left w:w="15" w:type="dxa"/>
          <w:bottom w:w="15" w:type="dxa"/>
          <w:right w:w="15" w:type="dxa"/>
        </w:tblCellMar>
        <w:tblLook w:val="04A0" w:firstRow="1" w:lastRow="0" w:firstColumn="1" w:lastColumn="0" w:noHBand="0" w:noVBand="1"/>
      </w:tblPr>
      <w:tblGrid>
        <w:gridCol w:w="2402"/>
        <w:gridCol w:w="7002"/>
      </w:tblGrid>
      <w:tr w:rsidR="00B1167E" w:rsidRPr="004D535B" w14:paraId="553E4D9B" w14:textId="77777777" w:rsidTr="008B07DF">
        <w:tc>
          <w:tcPr>
            <w:tcW w:w="1277" w:type="pct"/>
            <w:tcBorders>
              <w:top w:val="single" w:sz="6" w:space="0" w:color="DDDDDD"/>
            </w:tcBorders>
            <w:shd w:val="clear" w:color="auto" w:fill="F9F9F9"/>
            <w:tcMar>
              <w:top w:w="120" w:type="dxa"/>
              <w:left w:w="120" w:type="dxa"/>
              <w:bottom w:w="120" w:type="dxa"/>
              <w:right w:w="120" w:type="dxa"/>
            </w:tcMar>
            <w:hideMark/>
          </w:tcPr>
          <w:p w14:paraId="085F4CF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3723" w:type="pct"/>
            <w:tcBorders>
              <w:top w:val="single" w:sz="6" w:space="0" w:color="DDDDDD"/>
            </w:tcBorders>
            <w:shd w:val="clear" w:color="auto" w:fill="F9F9F9"/>
            <w:tcMar>
              <w:top w:w="120" w:type="dxa"/>
              <w:left w:w="120" w:type="dxa"/>
              <w:bottom w:w="120" w:type="dxa"/>
              <w:right w:w="120" w:type="dxa"/>
            </w:tcMar>
            <w:hideMark/>
          </w:tcPr>
          <w:p w14:paraId="4B173AF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Bureau of Statistics (BBS)</w:t>
            </w:r>
          </w:p>
        </w:tc>
      </w:tr>
      <w:tr w:rsidR="00B1167E" w:rsidRPr="004D535B" w14:paraId="5C0027EC" w14:textId="77777777" w:rsidTr="008B07DF">
        <w:tc>
          <w:tcPr>
            <w:tcW w:w="1277" w:type="pct"/>
            <w:tcBorders>
              <w:top w:val="single" w:sz="6" w:space="0" w:color="DDDDDD"/>
            </w:tcBorders>
            <w:shd w:val="clear" w:color="auto" w:fill="auto"/>
            <w:tcMar>
              <w:top w:w="120" w:type="dxa"/>
              <w:left w:w="120" w:type="dxa"/>
              <w:bottom w:w="120" w:type="dxa"/>
              <w:right w:w="120" w:type="dxa"/>
            </w:tcMar>
            <w:hideMark/>
          </w:tcPr>
          <w:p w14:paraId="5234036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3723" w:type="pct"/>
            <w:tcBorders>
              <w:top w:val="single" w:sz="6" w:space="0" w:color="DDDDDD"/>
            </w:tcBorders>
            <w:shd w:val="clear" w:color="auto" w:fill="auto"/>
            <w:tcMar>
              <w:top w:w="120" w:type="dxa"/>
              <w:left w:w="120" w:type="dxa"/>
              <w:bottom w:w="120" w:type="dxa"/>
              <w:right w:w="120" w:type="dxa"/>
            </w:tcMar>
            <w:hideMark/>
          </w:tcPr>
          <w:p w14:paraId="30738D4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Census Wing</w:t>
            </w:r>
          </w:p>
        </w:tc>
      </w:tr>
      <w:tr w:rsidR="00B1167E" w:rsidRPr="004D535B" w14:paraId="031A0F5A" w14:textId="77777777" w:rsidTr="008B07DF">
        <w:tc>
          <w:tcPr>
            <w:tcW w:w="1277" w:type="pct"/>
            <w:tcBorders>
              <w:top w:val="single" w:sz="6" w:space="0" w:color="DDDDDD"/>
            </w:tcBorders>
            <w:shd w:val="clear" w:color="auto" w:fill="F9F9F9"/>
            <w:tcMar>
              <w:top w:w="120" w:type="dxa"/>
              <w:left w:w="120" w:type="dxa"/>
              <w:bottom w:w="120" w:type="dxa"/>
              <w:right w:w="120" w:type="dxa"/>
            </w:tcMar>
            <w:hideMark/>
          </w:tcPr>
          <w:p w14:paraId="0D0872F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3723" w:type="pct"/>
            <w:tcBorders>
              <w:top w:val="single" w:sz="6" w:space="0" w:color="DDDDDD"/>
            </w:tcBorders>
            <w:shd w:val="clear" w:color="auto" w:fill="F9F9F9"/>
            <w:tcMar>
              <w:top w:w="120" w:type="dxa"/>
              <w:left w:w="120" w:type="dxa"/>
              <w:bottom w:w="120" w:type="dxa"/>
              <w:right w:w="120" w:type="dxa"/>
            </w:tcMar>
            <w:hideMark/>
          </w:tcPr>
          <w:p w14:paraId="182FF6C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Mohiuddin Ahmed, Deputy Director</w:t>
            </w:r>
          </w:p>
        </w:tc>
      </w:tr>
      <w:tr w:rsidR="00B1167E" w:rsidRPr="004D535B" w14:paraId="58E87E9B" w14:textId="77777777" w:rsidTr="008B07DF">
        <w:tc>
          <w:tcPr>
            <w:tcW w:w="1277" w:type="pct"/>
            <w:tcBorders>
              <w:top w:val="single" w:sz="6" w:space="0" w:color="DDDDDD"/>
            </w:tcBorders>
            <w:shd w:val="clear" w:color="auto" w:fill="auto"/>
            <w:tcMar>
              <w:top w:w="120" w:type="dxa"/>
              <w:left w:w="120" w:type="dxa"/>
              <w:bottom w:w="120" w:type="dxa"/>
              <w:right w:w="120" w:type="dxa"/>
            </w:tcMar>
            <w:hideMark/>
          </w:tcPr>
          <w:p w14:paraId="19CB9CE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3723" w:type="pct"/>
            <w:tcBorders>
              <w:top w:val="single" w:sz="6" w:space="0" w:color="DDDDDD"/>
            </w:tcBorders>
            <w:shd w:val="clear" w:color="auto" w:fill="auto"/>
            <w:tcMar>
              <w:top w:w="120" w:type="dxa"/>
              <w:left w:w="120" w:type="dxa"/>
              <w:bottom w:w="120" w:type="dxa"/>
              <w:right w:w="120" w:type="dxa"/>
            </w:tcMar>
            <w:hideMark/>
          </w:tcPr>
          <w:p w14:paraId="334E2B86" w14:textId="77777777" w:rsidR="00B1167E" w:rsidRPr="004D535B" w:rsidRDefault="00B1167E" w:rsidP="008B07DF">
            <w:pPr>
              <w:spacing w:after="0" w:line="240" w:lineRule="auto"/>
              <w:rPr>
                <w:rFonts w:eastAsia="Times New Roman" w:cstheme="minorHAnsi"/>
                <w:sz w:val="21"/>
                <w:szCs w:val="21"/>
                <w:lang w:val="en-US" w:eastAsia="en-GB"/>
              </w:rPr>
            </w:pPr>
            <w:proofErr w:type="spellStart"/>
            <w:r w:rsidRPr="004D535B">
              <w:rPr>
                <w:rFonts w:eastAsia="Times New Roman" w:cstheme="minorHAnsi"/>
                <w:sz w:val="21"/>
                <w:szCs w:val="21"/>
                <w:lang w:val="en-US" w:eastAsia="en-GB"/>
              </w:rPr>
              <w:t>Parishankhyan</w:t>
            </w:r>
            <w:proofErr w:type="spellEnd"/>
            <w:r w:rsidRPr="004D535B">
              <w:rPr>
                <w:rFonts w:eastAsia="Times New Roman" w:cstheme="minorHAnsi"/>
                <w:sz w:val="21"/>
                <w:szCs w:val="21"/>
                <w:lang w:val="en-US" w:eastAsia="en-GB"/>
              </w:rPr>
              <w:t xml:space="preserve"> Bhaban, E-27/A, Agargaon, Dhaka-1207, Bangladesh</w:t>
            </w:r>
          </w:p>
        </w:tc>
      </w:tr>
      <w:tr w:rsidR="00B1167E" w:rsidRPr="004D535B" w14:paraId="11948EDA" w14:textId="77777777" w:rsidTr="008B07DF">
        <w:tc>
          <w:tcPr>
            <w:tcW w:w="1277" w:type="pct"/>
            <w:tcBorders>
              <w:top w:val="single" w:sz="6" w:space="0" w:color="DDDDDD"/>
            </w:tcBorders>
            <w:shd w:val="clear" w:color="auto" w:fill="F9F9F9"/>
            <w:tcMar>
              <w:top w:w="120" w:type="dxa"/>
              <w:left w:w="120" w:type="dxa"/>
              <w:bottom w:w="120" w:type="dxa"/>
              <w:right w:w="120" w:type="dxa"/>
            </w:tcMar>
            <w:hideMark/>
          </w:tcPr>
          <w:p w14:paraId="6A4DF2B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3723" w:type="pct"/>
            <w:tcBorders>
              <w:top w:val="single" w:sz="6" w:space="0" w:color="DDDDDD"/>
            </w:tcBorders>
            <w:shd w:val="clear" w:color="auto" w:fill="F9F9F9"/>
            <w:tcMar>
              <w:top w:w="120" w:type="dxa"/>
              <w:left w:w="120" w:type="dxa"/>
              <w:bottom w:w="120" w:type="dxa"/>
              <w:right w:w="120" w:type="dxa"/>
            </w:tcMar>
            <w:hideMark/>
          </w:tcPr>
          <w:p w14:paraId="4B658B0F" w14:textId="77777777" w:rsidR="00B1167E" w:rsidRPr="004D535B" w:rsidRDefault="00B1167E" w:rsidP="008B07DF">
            <w:pPr>
              <w:spacing w:after="0" w:line="240" w:lineRule="auto"/>
              <w:rPr>
                <w:rFonts w:eastAsia="Times New Roman" w:cstheme="minorHAnsi"/>
                <w:sz w:val="21"/>
                <w:szCs w:val="21"/>
                <w:lang w:val="en-US" w:eastAsia="en-GB"/>
              </w:rPr>
            </w:pPr>
            <w:hyperlink r:id="rId5" w:history="1">
              <w:r w:rsidRPr="004D535B">
                <w:rPr>
                  <w:rFonts w:eastAsia="Times New Roman" w:cstheme="minorHAnsi"/>
                  <w:color w:val="337AB7"/>
                  <w:sz w:val="21"/>
                  <w:szCs w:val="21"/>
                  <w:u w:val="single"/>
                  <w:lang w:val="en-US" w:eastAsia="en-GB"/>
                </w:rPr>
                <w:t>mohiuddin.bbs@gmail.com</w:t>
              </w:r>
            </w:hyperlink>
          </w:p>
        </w:tc>
      </w:tr>
      <w:tr w:rsidR="00B1167E" w:rsidRPr="004D535B" w14:paraId="227C8B80" w14:textId="77777777" w:rsidTr="008B07DF">
        <w:tc>
          <w:tcPr>
            <w:tcW w:w="1277" w:type="pct"/>
            <w:tcBorders>
              <w:top w:val="single" w:sz="6" w:space="0" w:color="DDDDDD"/>
            </w:tcBorders>
            <w:shd w:val="clear" w:color="auto" w:fill="auto"/>
            <w:tcMar>
              <w:top w:w="120" w:type="dxa"/>
              <w:left w:w="120" w:type="dxa"/>
              <w:bottom w:w="120" w:type="dxa"/>
              <w:right w:w="120" w:type="dxa"/>
            </w:tcMar>
            <w:hideMark/>
          </w:tcPr>
          <w:p w14:paraId="0B38F0D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3723" w:type="pct"/>
            <w:tcBorders>
              <w:top w:val="single" w:sz="6" w:space="0" w:color="DDDDDD"/>
            </w:tcBorders>
            <w:shd w:val="clear" w:color="auto" w:fill="auto"/>
            <w:tcMar>
              <w:top w:w="120" w:type="dxa"/>
              <w:left w:w="120" w:type="dxa"/>
              <w:bottom w:w="120" w:type="dxa"/>
              <w:right w:w="120" w:type="dxa"/>
            </w:tcMar>
            <w:hideMark/>
          </w:tcPr>
          <w:p w14:paraId="227CA2C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available</w:t>
            </w:r>
          </w:p>
        </w:tc>
      </w:tr>
    </w:tbl>
    <w:p w14:paraId="1F00689F"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1.2 Statistical presentation</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10"/>
        <w:gridCol w:w="6616"/>
      </w:tblGrid>
      <w:tr w:rsidR="00B1167E" w:rsidRPr="004D535B" w14:paraId="4700C04F" w14:textId="77777777" w:rsidTr="008B07DF">
        <w:tc>
          <w:tcPr>
            <w:tcW w:w="2410" w:type="dxa"/>
            <w:tcBorders>
              <w:top w:val="single" w:sz="6" w:space="0" w:color="DDDDDD"/>
            </w:tcBorders>
            <w:shd w:val="clear" w:color="auto" w:fill="F9F9F9"/>
            <w:tcMar>
              <w:top w:w="120" w:type="dxa"/>
              <w:left w:w="120" w:type="dxa"/>
              <w:bottom w:w="120" w:type="dxa"/>
              <w:right w:w="120" w:type="dxa"/>
            </w:tcMar>
            <w:hideMark/>
          </w:tcPr>
          <w:p w14:paraId="6DBA5B4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6616" w:type="dxa"/>
            <w:tcBorders>
              <w:top w:val="single" w:sz="6" w:space="0" w:color="DDDDDD"/>
            </w:tcBorders>
            <w:shd w:val="clear" w:color="auto" w:fill="F9F9F9"/>
            <w:tcMar>
              <w:top w:w="120" w:type="dxa"/>
              <w:left w:w="120" w:type="dxa"/>
              <w:bottom w:w="120" w:type="dxa"/>
              <w:right w:w="120" w:type="dxa"/>
            </w:tcMar>
            <w:hideMark/>
          </w:tcPr>
          <w:p w14:paraId="214D740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At the time of drafting of this document the 2021 Census questionnaire was not made available to KE10 and therefore it is being assumed that it will follow closely the level of detail included in the questionnaire used for the 2011 census. This is likely to include a comprehensive list of socio-economic variables, including health and vital statistics alongside with housing characteristics.</w:t>
            </w:r>
          </w:p>
          <w:p w14:paraId="3368653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Like in the previous census, two versions of the questionnaire will be considered – a short and long one. The short questionnaire consisting of approx. 22 indicators will be considered for all households. In turn, the long questionnaire consisting of approx. 74 indicators will aim at collecting information on housing, </w:t>
            </w:r>
            <w:proofErr w:type="gramStart"/>
            <w:r w:rsidRPr="004D535B">
              <w:rPr>
                <w:rFonts w:eastAsia="Times New Roman" w:cstheme="minorHAnsi"/>
                <w:sz w:val="21"/>
                <w:szCs w:val="21"/>
                <w:lang w:val="en-US" w:eastAsia="en-GB"/>
              </w:rPr>
              <w:t>population</w:t>
            </w:r>
            <w:proofErr w:type="gramEnd"/>
            <w:r w:rsidRPr="004D535B">
              <w:rPr>
                <w:rFonts w:eastAsia="Times New Roman" w:cstheme="minorHAnsi"/>
                <w:sz w:val="21"/>
                <w:szCs w:val="21"/>
                <w:lang w:val="en-US" w:eastAsia="en-GB"/>
              </w:rPr>
              <w:t xml:space="preserve"> and its demographic and social characteristics through a sample survey of around 1% of all households.</w:t>
            </w:r>
          </w:p>
        </w:tc>
      </w:tr>
      <w:tr w:rsidR="00B1167E" w:rsidRPr="004D535B" w14:paraId="78C50570" w14:textId="77777777" w:rsidTr="008B07DF">
        <w:tc>
          <w:tcPr>
            <w:tcW w:w="2410" w:type="dxa"/>
            <w:tcBorders>
              <w:top w:val="single" w:sz="6" w:space="0" w:color="DDDDDD"/>
            </w:tcBorders>
            <w:shd w:val="clear" w:color="auto" w:fill="auto"/>
            <w:tcMar>
              <w:top w:w="120" w:type="dxa"/>
              <w:left w:w="120" w:type="dxa"/>
              <w:bottom w:w="120" w:type="dxa"/>
              <w:right w:w="120" w:type="dxa"/>
            </w:tcMar>
            <w:hideMark/>
          </w:tcPr>
          <w:p w14:paraId="02DE66C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Classification system</w:t>
            </w:r>
          </w:p>
        </w:tc>
        <w:tc>
          <w:tcPr>
            <w:tcW w:w="6616" w:type="dxa"/>
            <w:tcBorders>
              <w:top w:val="single" w:sz="6" w:space="0" w:color="DDDDDD"/>
            </w:tcBorders>
            <w:shd w:val="clear" w:color="auto" w:fill="auto"/>
            <w:tcMar>
              <w:top w:w="120" w:type="dxa"/>
              <w:left w:w="120" w:type="dxa"/>
              <w:bottom w:w="120" w:type="dxa"/>
              <w:right w:w="120" w:type="dxa"/>
            </w:tcMar>
            <w:hideMark/>
          </w:tcPr>
          <w:p w14:paraId="291A809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Classification used in the census include: ISCO-08 (International Standard Classification of Occupations);</w:t>
            </w:r>
          </w:p>
        </w:tc>
      </w:tr>
      <w:tr w:rsidR="00B1167E" w:rsidRPr="004D535B" w14:paraId="62415F3A" w14:textId="77777777" w:rsidTr="008B07DF">
        <w:tc>
          <w:tcPr>
            <w:tcW w:w="2410" w:type="dxa"/>
            <w:tcBorders>
              <w:top w:val="single" w:sz="6" w:space="0" w:color="DDDDDD"/>
            </w:tcBorders>
            <w:shd w:val="clear" w:color="auto" w:fill="F9F9F9"/>
            <w:tcMar>
              <w:top w:w="120" w:type="dxa"/>
              <w:left w:w="120" w:type="dxa"/>
              <w:bottom w:w="120" w:type="dxa"/>
              <w:right w:w="120" w:type="dxa"/>
            </w:tcMar>
            <w:hideMark/>
          </w:tcPr>
          <w:p w14:paraId="396E9AF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Sector coverage</w:t>
            </w:r>
          </w:p>
        </w:tc>
        <w:tc>
          <w:tcPr>
            <w:tcW w:w="6616" w:type="dxa"/>
            <w:tcBorders>
              <w:top w:val="single" w:sz="6" w:space="0" w:color="DDDDDD"/>
            </w:tcBorders>
            <w:shd w:val="clear" w:color="auto" w:fill="F9F9F9"/>
            <w:tcMar>
              <w:top w:w="120" w:type="dxa"/>
              <w:left w:w="120" w:type="dxa"/>
              <w:bottom w:w="120" w:type="dxa"/>
              <w:right w:w="120" w:type="dxa"/>
            </w:tcMar>
            <w:hideMark/>
          </w:tcPr>
          <w:p w14:paraId="633ACFC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All relevant sectors</w:t>
            </w:r>
          </w:p>
        </w:tc>
      </w:tr>
      <w:tr w:rsidR="00B1167E" w:rsidRPr="004D535B" w14:paraId="4BA62032" w14:textId="77777777" w:rsidTr="008B07DF">
        <w:tc>
          <w:tcPr>
            <w:tcW w:w="2410" w:type="dxa"/>
            <w:tcBorders>
              <w:top w:val="single" w:sz="6" w:space="0" w:color="DDDDDD"/>
            </w:tcBorders>
            <w:shd w:val="clear" w:color="auto" w:fill="auto"/>
            <w:tcMar>
              <w:top w:w="120" w:type="dxa"/>
              <w:left w:w="120" w:type="dxa"/>
              <w:bottom w:w="120" w:type="dxa"/>
              <w:right w:w="120" w:type="dxa"/>
            </w:tcMar>
            <w:hideMark/>
          </w:tcPr>
          <w:p w14:paraId="00EF29C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6616" w:type="dxa"/>
            <w:tcBorders>
              <w:top w:val="single" w:sz="6" w:space="0" w:color="DDDDDD"/>
            </w:tcBorders>
            <w:shd w:val="clear" w:color="auto" w:fill="auto"/>
            <w:tcMar>
              <w:top w:w="120" w:type="dxa"/>
              <w:left w:w="120" w:type="dxa"/>
              <w:bottom w:w="120" w:type="dxa"/>
              <w:right w:w="120" w:type="dxa"/>
            </w:tcMar>
            <w:hideMark/>
          </w:tcPr>
          <w:p w14:paraId="7222C53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Concepts and definitions stipulated by the United Nations. These may be found through this link:</w:t>
            </w:r>
          </w:p>
          <w:p w14:paraId="3AF45D25" w14:textId="77777777" w:rsidR="00B1167E" w:rsidRPr="004D535B" w:rsidRDefault="00B1167E" w:rsidP="008B07DF">
            <w:pPr>
              <w:spacing w:after="0" w:line="240" w:lineRule="auto"/>
              <w:rPr>
                <w:rFonts w:eastAsia="Times New Roman" w:cstheme="minorHAnsi"/>
                <w:sz w:val="21"/>
                <w:szCs w:val="21"/>
                <w:lang w:val="en-US" w:eastAsia="en-GB"/>
              </w:rPr>
            </w:pPr>
            <w:hyperlink r:id="rId6" w:history="1">
              <w:r w:rsidRPr="004D535B">
                <w:rPr>
                  <w:rFonts w:eastAsia="Times New Roman" w:cstheme="minorHAnsi"/>
                  <w:color w:val="337AB7"/>
                  <w:sz w:val="21"/>
                  <w:szCs w:val="21"/>
                  <w:u w:val="single"/>
                  <w:lang w:val="en-US" w:eastAsia="en-GB"/>
                </w:rPr>
                <w:t>https://www.google.com/url?sa=t&amp;rct=j&amp;q=&amp;esrc=s&amp;source=web&amp;cd=&amp;ved=2ahUKEwicjo_NtZTyAhUpgf0HHeRICmoQFjAAegQIBBAD&amp;url=https%3A%2F%2Funstats.un.org%2Funsd%2Fdnss%2FdocViewer.aspx%3FdocID%3D1774&amp;usg=AOvVaw2aD1uHtaaYzcV2I4mAmV8N</w:t>
              </w:r>
            </w:hyperlink>
          </w:p>
        </w:tc>
      </w:tr>
      <w:tr w:rsidR="00B1167E" w:rsidRPr="004D535B" w14:paraId="3DE17CE3" w14:textId="77777777" w:rsidTr="008B07DF">
        <w:tc>
          <w:tcPr>
            <w:tcW w:w="2410" w:type="dxa"/>
            <w:tcBorders>
              <w:top w:val="single" w:sz="6" w:space="0" w:color="DDDDDD"/>
            </w:tcBorders>
            <w:shd w:val="clear" w:color="auto" w:fill="F9F9F9"/>
            <w:tcMar>
              <w:top w:w="120" w:type="dxa"/>
              <w:left w:w="120" w:type="dxa"/>
              <w:bottom w:w="120" w:type="dxa"/>
              <w:right w:w="120" w:type="dxa"/>
            </w:tcMar>
            <w:hideMark/>
          </w:tcPr>
          <w:p w14:paraId="3F2DEA2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Statistical unit</w:t>
            </w:r>
          </w:p>
        </w:tc>
        <w:tc>
          <w:tcPr>
            <w:tcW w:w="6616" w:type="dxa"/>
            <w:tcBorders>
              <w:top w:val="single" w:sz="6" w:space="0" w:color="DDDDDD"/>
            </w:tcBorders>
            <w:shd w:val="clear" w:color="auto" w:fill="F9F9F9"/>
            <w:tcMar>
              <w:top w:w="120" w:type="dxa"/>
              <w:left w:w="120" w:type="dxa"/>
              <w:bottom w:w="120" w:type="dxa"/>
              <w:right w:w="120" w:type="dxa"/>
            </w:tcMar>
            <w:hideMark/>
          </w:tcPr>
          <w:p w14:paraId="5F7C47F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Persons, private dwellings, conventional </w:t>
            </w:r>
            <w:proofErr w:type="gramStart"/>
            <w:r w:rsidRPr="004D535B">
              <w:rPr>
                <w:rFonts w:eastAsia="Times New Roman" w:cstheme="minorHAnsi"/>
                <w:sz w:val="21"/>
                <w:szCs w:val="21"/>
                <w:lang w:val="en-US" w:eastAsia="en-GB"/>
              </w:rPr>
              <w:t>dwellings</w:t>
            </w:r>
            <w:proofErr w:type="gramEnd"/>
            <w:r w:rsidRPr="004D535B">
              <w:rPr>
                <w:rFonts w:eastAsia="Times New Roman" w:cstheme="minorHAnsi"/>
                <w:sz w:val="21"/>
                <w:szCs w:val="21"/>
                <w:lang w:val="en-US" w:eastAsia="en-GB"/>
              </w:rPr>
              <w:t xml:space="preserve"> and other living quarters.</w:t>
            </w:r>
          </w:p>
        </w:tc>
      </w:tr>
      <w:tr w:rsidR="00B1167E" w:rsidRPr="004D535B" w14:paraId="635733C5" w14:textId="77777777" w:rsidTr="008B07DF">
        <w:tc>
          <w:tcPr>
            <w:tcW w:w="2410" w:type="dxa"/>
            <w:tcBorders>
              <w:top w:val="single" w:sz="6" w:space="0" w:color="DDDDDD"/>
            </w:tcBorders>
            <w:shd w:val="clear" w:color="auto" w:fill="auto"/>
            <w:tcMar>
              <w:top w:w="120" w:type="dxa"/>
              <w:left w:w="120" w:type="dxa"/>
              <w:bottom w:w="120" w:type="dxa"/>
              <w:right w:w="120" w:type="dxa"/>
            </w:tcMar>
            <w:hideMark/>
          </w:tcPr>
          <w:p w14:paraId="0E80E61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6616" w:type="dxa"/>
            <w:tcBorders>
              <w:top w:val="single" w:sz="6" w:space="0" w:color="DDDDDD"/>
            </w:tcBorders>
            <w:shd w:val="clear" w:color="auto" w:fill="auto"/>
            <w:tcMar>
              <w:top w:w="120" w:type="dxa"/>
              <w:left w:w="120" w:type="dxa"/>
              <w:bottom w:w="120" w:type="dxa"/>
              <w:right w:w="120" w:type="dxa"/>
            </w:tcMar>
            <w:hideMark/>
          </w:tcPr>
          <w:p w14:paraId="02088B4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target population will consist of all resident population in Bangladesh.</w:t>
            </w:r>
          </w:p>
          <w:p w14:paraId="1CD2F03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 addition, the 2021 PHC will be different from the previous censuses as it will include for the first-time expatriate Bangladeshis as well as foreigners staying in Bangladesh. Certain indicators will be also collected subject to the de jure status rather than the de facto</w:t>
            </w:r>
          </w:p>
        </w:tc>
      </w:tr>
      <w:tr w:rsidR="00B1167E" w:rsidRPr="004D535B" w14:paraId="09363DA7" w14:textId="77777777" w:rsidTr="008B07DF">
        <w:tc>
          <w:tcPr>
            <w:tcW w:w="2410" w:type="dxa"/>
            <w:tcBorders>
              <w:top w:val="single" w:sz="6" w:space="0" w:color="DDDDDD"/>
            </w:tcBorders>
            <w:shd w:val="clear" w:color="auto" w:fill="F9F9F9"/>
            <w:tcMar>
              <w:top w:w="120" w:type="dxa"/>
              <w:left w:w="120" w:type="dxa"/>
              <w:bottom w:w="120" w:type="dxa"/>
              <w:right w:w="120" w:type="dxa"/>
            </w:tcMar>
            <w:hideMark/>
          </w:tcPr>
          <w:p w14:paraId="2369F4B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6616" w:type="dxa"/>
            <w:tcBorders>
              <w:top w:val="single" w:sz="6" w:space="0" w:color="DDDDDD"/>
            </w:tcBorders>
            <w:shd w:val="clear" w:color="auto" w:fill="F9F9F9"/>
            <w:tcMar>
              <w:top w:w="120" w:type="dxa"/>
              <w:left w:w="120" w:type="dxa"/>
              <w:bottom w:w="120" w:type="dxa"/>
              <w:right w:w="120" w:type="dxa"/>
            </w:tcMar>
            <w:hideMark/>
          </w:tcPr>
          <w:p w14:paraId="32DDFCC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are available at different levels of geographical detail: national and regional.</w:t>
            </w:r>
          </w:p>
        </w:tc>
      </w:tr>
      <w:tr w:rsidR="00B1167E" w:rsidRPr="004D535B" w14:paraId="72968E6A" w14:textId="77777777" w:rsidTr="008B07DF">
        <w:tc>
          <w:tcPr>
            <w:tcW w:w="2410" w:type="dxa"/>
            <w:tcBorders>
              <w:top w:val="single" w:sz="6" w:space="0" w:color="DDDDDD"/>
            </w:tcBorders>
            <w:shd w:val="clear" w:color="auto" w:fill="auto"/>
            <w:tcMar>
              <w:top w:w="120" w:type="dxa"/>
              <w:left w:w="120" w:type="dxa"/>
              <w:bottom w:w="120" w:type="dxa"/>
              <w:right w:w="120" w:type="dxa"/>
            </w:tcMar>
            <w:hideMark/>
          </w:tcPr>
          <w:p w14:paraId="00E7D25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6616" w:type="dxa"/>
            <w:tcBorders>
              <w:top w:val="single" w:sz="6" w:space="0" w:color="DDDDDD"/>
            </w:tcBorders>
            <w:shd w:val="clear" w:color="auto" w:fill="auto"/>
            <w:tcMar>
              <w:top w:w="120" w:type="dxa"/>
              <w:left w:w="120" w:type="dxa"/>
              <w:bottom w:w="120" w:type="dxa"/>
              <w:right w:w="120" w:type="dxa"/>
            </w:tcMar>
            <w:hideMark/>
          </w:tcPr>
          <w:p w14:paraId="587DF11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refer to the situation in Bangladesh at the census reference date (namely 25 October 2021).</w:t>
            </w:r>
          </w:p>
        </w:tc>
      </w:tr>
      <w:tr w:rsidR="00B1167E" w:rsidRPr="004D535B" w14:paraId="559C085B" w14:textId="77777777" w:rsidTr="008B07DF">
        <w:tc>
          <w:tcPr>
            <w:tcW w:w="2410" w:type="dxa"/>
            <w:tcBorders>
              <w:top w:val="single" w:sz="6" w:space="0" w:color="DDDDDD"/>
            </w:tcBorders>
            <w:shd w:val="clear" w:color="auto" w:fill="F9F9F9"/>
            <w:tcMar>
              <w:top w:w="120" w:type="dxa"/>
              <w:left w:w="120" w:type="dxa"/>
              <w:bottom w:w="120" w:type="dxa"/>
              <w:right w:w="120" w:type="dxa"/>
            </w:tcMar>
            <w:hideMark/>
          </w:tcPr>
          <w:p w14:paraId="14E2715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6616" w:type="dxa"/>
            <w:tcBorders>
              <w:top w:val="single" w:sz="6" w:space="0" w:color="DDDDDD"/>
            </w:tcBorders>
            <w:shd w:val="clear" w:color="auto" w:fill="F9F9F9"/>
            <w:tcMar>
              <w:top w:w="120" w:type="dxa"/>
              <w:left w:w="120" w:type="dxa"/>
              <w:bottom w:w="120" w:type="dxa"/>
              <w:right w:w="120" w:type="dxa"/>
            </w:tcMar>
            <w:hideMark/>
          </w:tcPr>
          <w:p w14:paraId="4E23FC8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base year is 2021.</w:t>
            </w:r>
          </w:p>
        </w:tc>
      </w:tr>
    </w:tbl>
    <w:p w14:paraId="5DF97D2C"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423"/>
        <w:gridCol w:w="6981"/>
      </w:tblGrid>
      <w:tr w:rsidR="00B1167E" w:rsidRPr="004D535B" w14:paraId="210765C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743F35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14DA980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collected from the field and no use of administrative records is foreseen.</w:t>
            </w:r>
          </w:p>
        </w:tc>
      </w:tr>
      <w:tr w:rsidR="00B1167E" w:rsidRPr="004D535B" w14:paraId="74E9F4B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3D8CC0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1F17F3A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3F5DF30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E5F495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388E1F92"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6F948B9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240A52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550D056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30BC1DE3"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1.4 Quality dimensions</w:t>
      </w:r>
    </w:p>
    <w:p w14:paraId="3BD35506"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540"/>
        <w:gridCol w:w="6864"/>
      </w:tblGrid>
      <w:tr w:rsidR="00B1167E" w:rsidRPr="004D535B" w14:paraId="5290BEA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5718C9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602A51CB"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Census questionnaire has been drafted following intensive meetings with all main stakeholders.</w:t>
            </w:r>
          </w:p>
        </w:tc>
      </w:tr>
      <w:tr w:rsidR="00B1167E" w:rsidRPr="004D535B" w14:paraId="4B26592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5EEC15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037C1B0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applicable.</w:t>
            </w:r>
          </w:p>
        </w:tc>
      </w:tr>
      <w:tr w:rsidR="00B1167E" w:rsidRPr="004D535B" w14:paraId="050931C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937E792"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10BB85D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4CC6DE54"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Accessible and clarity</w:t>
      </w:r>
    </w:p>
    <w:tbl>
      <w:tblPr>
        <w:tblW w:w="0" w:type="dxa"/>
        <w:tblCellMar>
          <w:top w:w="15" w:type="dxa"/>
          <w:left w:w="15" w:type="dxa"/>
          <w:bottom w:w="15" w:type="dxa"/>
          <w:right w:w="15" w:type="dxa"/>
        </w:tblCellMar>
        <w:tblLook w:val="04A0" w:firstRow="1" w:lastRow="0" w:firstColumn="1" w:lastColumn="0" w:noHBand="0" w:noVBand="1"/>
      </w:tblPr>
      <w:tblGrid>
        <w:gridCol w:w="1843"/>
        <w:gridCol w:w="7561"/>
      </w:tblGrid>
      <w:tr w:rsidR="00B1167E" w:rsidRPr="004D535B" w14:paraId="19DA56C6"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44C2A3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0" w:type="auto"/>
            <w:tcBorders>
              <w:top w:val="single" w:sz="6" w:space="0" w:color="DDDDDD"/>
            </w:tcBorders>
            <w:shd w:val="clear" w:color="auto" w:fill="F9F9F9"/>
            <w:tcMar>
              <w:top w:w="120" w:type="dxa"/>
              <w:left w:w="120" w:type="dxa"/>
              <w:bottom w:w="120" w:type="dxa"/>
              <w:right w:w="120" w:type="dxa"/>
            </w:tcMar>
            <w:hideMark/>
          </w:tcPr>
          <w:p w14:paraId="78FC307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A vast range of generic and thematic census cross tabulations covering various domains (ranging from vital to economic statistics) will be released gradually between 2023 and 2025. In addition, preliminary census results focusing on a limited set of indicators such as sex, </w:t>
            </w:r>
            <w:proofErr w:type="gramStart"/>
            <w:r w:rsidRPr="004D535B">
              <w:rPr>
                <w:rFonts w:eastAsia="Times New Roman" w:cstheme="minorHAnsi"/>
                <w:sz w:val="21"/>
                <w:szCs w:val="21"/>
                <w:lang w:val="en-US" w:eastAsia="en-GB"/>
              </w:rPr>
              <w:t>gender</w:t>
            </w:r>
            <w:proofErr w:type="gramEnd"/>
            <w:r w:rsidRPr="004D535B">
              <w:rPr>
                <w:rFonts w:eastAsia="Times New Roman" w:cstheme="minorHAnsi"/>
                <w:sz w:val="21"/>
                <w:szCs w:val="21"/>
                <w:lang w:val="en-US" w:eastAsia="en-GB"/>
              </w:rPr>
              <w:t xml:space="preserve"> and population density by region, will be made available approximately five (5) months after the start of the Census. These will be also complemented by other analytical and administrative publications focusing on issues of a purely methodological and operational nature.</w:t>
            </w:r>
          </w:p>
          <w:p w14:paraId="7DDBE65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Printed and electronic publications will be considered in addition to sample extracts in electronic form. For more advanced users, BBS plans to adopt the same scheme introduced in the last census – whereby anonymized samples of census data (consisting of approximately 5% of the population) would be made available against a charge.</w:t>
            </w:r>
          </w:p>
          <w:p w14:paraId="7820C942"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Finalization of Census questionnaire-September 2021</w:t>
            </w:r>
          </w:p>
          <w:p w14:paraId="1CD5DC9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collection-October 2021</w:t>
            </w:r>
          </w:p>
          <w:p w14:paraId="537C712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Finalization of initial population count-December 2021</w:t>
            </w:r>
          </w:p>
          <w:p w14:paraId="680EFA3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Post enumeration check-January 2022</w:t>
            </w:r>
          </w:p>
          <w:p w14:paraId="21A2815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of preliminary report-March 2022</w:t>
            </w:r>
          </w:p>
          <w:p w14:paraId="7248297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survey-June 2022</w:t>
            </w:r>
          </w:p>
          <w:p w14:paraId="556B8BA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of a series of thematic reports-2023-5</w:t>
            </w:r>
          </w:p>
        </w:tc>
      </w:tr>
      <w:tr w:rsidR="00B1167E" w:rsidRPr="004D535B" w14:paraId="7DE98644"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683FA51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0" w:type="auto"/>
            <w:tcBorders>
              <w:top w:val="single" w:sz="6" w:space="0" w:color="DDDDDD"/>
            </w:tcBorders>
            <w:shd w:val="clear" w:color="auto" w:fill="auto"/>
            <w:tcMar>
              <w:top w:w="120" w:type="dxa"/>
              <w:left w:w="120" w:type="dxa"/>
              <w:bottom w:w="120" w:type="dxa"/>
              <w:right w:w="120" w:type="dxa"/>
            </w:tcMar>
            <w:hideMark/>
          </w:tcPr>
          <w:p w14:paraId="6CAE832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applicable.</w:t>
            </w:r>
          </w:p>
        </w:tc>
      </w:tr>
      <w:tr w:rsidR="00B1167E" w:rsidRPr="004D535B" w14:paraId="1DB0D986"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2D0D38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0" w:type="auto"/>
            <w:tcBorders>
              <w:top w:val="single" w:sz="6" w:space="0" w:color="DDDDDD"/>
            </w:tcBorders>
            <w:shd w:val="clear" w:color="auto" w:fill="F9F9F9"/>
            <w:tcMar>
              <w:top w:w="120" w:type="dxa"/>
              <w:left w:w="120" w:type="dxa"/>
              <w:bottom w:w="120" w:type="dxa"/>
              <w:right w:w="120" w:type="dxa"/>
            </w:tcMar>
            <w:hideMark/>
          </w:tcPr>
          <w:p w14:paraId="204F4FB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 to 9 above.</w:t>
            </w:r>
          </w:p>
        </w:tc>
      </w:tr>
      <w:tr w:rsidR="00B1167E" w:rsidRPr="004D535B" w14:paraId="0E76CBD0"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2495B83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0" w:type="auto"/>
            <w:tcBorders>
              <w:top w:val="single" w:sz="6" w:space="0" w:color="DDDDDD"/>
            </w:tcBorders>
            <w:shd w:val="clear" w:color="auto" w:fill="auto"/>
            <w:tcMar>
              <w:top w:w="120" w:type="dxa"/>
              <w:left w:w="120" w:type="dxa"/>
              <w:bottom w:w="120" w:type="dxa"/>
              <w:right w:w="120" w:type="dxa"/>
            </w:tcMar>
            <w:hideMark/>
          </w:tcPr>
          <w:p w14:paraId="1EC88A8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applicable.</w:t>
            </w:r>
          </w:p>
        </w:tc>
      </w:tr>
      <w:tr w:rsidR="00B1167E" w:rsidRPr="004D535B" w14:paraId="2CAC2C43"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E75A69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0" w:type="auto"/>
            <w:tcBorders>
              <w:top w:val="single" w:sz="6" w:space="0" w:color="DDDDDD"/>
            </w:tcBorders>
            <w:shd w:val="clear" w:color="auto" w:fill="F9F9F9"/>
            <w:tcMar>
              <w:top w:w="120" w:type="dxa"/>
              <w:left w:w="120" w:type="dxa"/>
              <w:bottom w:w="120" w:type="dxa"/>
              <w:right w:w="120" w:type="dxa"/>
            </w:tcMar>
            <w:hideMark/>
          </w:tcPr>
          <w:p w14:paraId="0284689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For more advanced users, BBS plans to adopt the same scheme introduced in the last census – whereby anonymized samples of census data (consisting of approximately 5% of the population) would be made available against a charge.</w:t>
            </w:r>
          </w:p>
        </w:tc>
      </w:tr>
      <w:tr w:rsidR="00B1167E" w:rsidRPr="004D535B" w14:paraId="0616DFE6"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642AD8E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0" w:type="auto"/>
            <w:tcBorders>
              <w:top w:val="single" w:sz="6" w:space="0" w:color="DDDDDD"/>
            </w:tcBorders>
            <w:shd w:val="clear" w:color="auto" w:fill="auto"/>
            <w:tcMar>
              <w:top w:w="120" w:type="dxa"/>
              <w:left w:w="120" w:type="dxa"/>
              <w:bottom w:w="120" w:type="dxa"/>
              <w:right w:w="120" w:type="dxa"/>
            </w:tcMar>
            <w:hideMark/>
          </w:tcPr>
          <w:p w14:paraId="5AD059E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applicable.</w:t>
            </w:r>
          </w:p>
        </w:tc>
      </w:tr>
      <w:tr w:rsidR="00B1167E" w:rsidRPr="004D535B" w14:paraId="271633F3"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698254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0" w:type="auto"/>
            <w:tcBorders>
              <w:top w:val="single" w:sz="6" w:space="0" w:color="DDDDDD"/>
            </w:tcBorders>
            <w:shd w:val="clear" w:color="auto" w:fill="F9F9F9"/>
            <w:tcMar>
              <w:top w:w="120" w:type="dxa"/>
              <w:left w:w="120" w:type="dxa"/>
              <w:bottom w:w="120" w:type="dxa"/>
              <w:right w:w="120" w:type="dxa"/>
            </w:tcMar>
            <w:hideMark/>
          </w:tcPr>
          <w:p w14:paraId="05DA69B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 analytical publication is planned to be published between 2023-5.</w:t>
            </w:r>
          </w:p>
        </w:tc>
      </w:tr>
      <w:tr w:rsidR="00B1167E" w:rsidRPr="004D535B" w14:paraId="64BFDE5B"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9D3BA0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0" w:type="auto"/>
            <w:tcBorders>
              <w:top w:val="single" w:sz="6" w:space="0" w:color="DDDDDD"/>
            </w:tcBorders>
            <w:shd w:val="clear" w:color="auto" w:fill="auto"/>
            <w:tcMar>
              <w:top w:w="120" w:type="dxa"/>
              <w:left w:w="120" w:type="dxa"/>
              <w:bottom w:w="120" w:type="dxa"/>
              <w:right w:w="120" w:type="dxa"/>
            </w:tcMar>
            <w:hideMark/>
          </w:tcPr>
          <w:p w14:paraId="6A94AD0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Post Enumeration Check, focusing on quality and sampling issues, is likely to be released in January 2022.</w:t>
            </w:r>
          </w:p>
        </w:tc>
      </w:tr>
    </w:tbl>
    <w:p w14:paraId="2FC234F5"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482"/>
        <w:gridCol w:w="6922"/>
      </w:tblGrid>
      <w:tr w:rsidR="00B1167E" w:rsidRPr="004D535B" w14:paraId="16A51AF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876640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Timeliness and time lag - </w:t>
            </w:r>
            <w:proofErr w:type="gramStart"/>
            <w:r w:rsidRPr="004D535B">
              <w:rPr>
                <w:rFonts w:eastAsia="Times New Roman" w:cstheme="minorHAnsi"/>
                <w:sz w:val="21"/>
                <w:szCs w:val="21"/>
                <w:lang w:val="en-US" w:eastAsia="en-GB"/>
              </w:rPr>
              <w:t>final results</w:t>
            </w:r>
            <w:proofErr w:type="gramEnd"/>
          </w:p>
        </w:tc>
        <w:tc>
          <w:tcPr>
            <w:tcW w:w="12000" w:type="dxa"/>
            <w:tcBorders>
              <w:top w:val="single" w:sz="6" w:space="0" w:color="DDDDDD"/>
            </w:tcBorders>
            <w:shd w:val="clear" w:color="auto" w:fill="F9F9F9"/>
            <w:tcMar>
              <w:top w:w="120" w:type="dxa"/>
              <w:left w:w="120" w:type="dxa"/>
              <w:bottom w:w="120" w:type="dxa"/>
              <w:right w:w="120" w:type="dxa"/>
            </w:tcMar>
            <w:hideMark/>
          </w:tcPr>
          <w:p w14:paraId="00E9711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5BE3721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708166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6C5033E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3F9DBD0B"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571"/>
        <w:gridCol w:w="6833"/>
      </w:tblGrid>
      <w:tr w:rsidR="00B1167E" w:rsidRPr="004D535B" w14:paraId="3784E1E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16A282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00938C9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50345D4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FDA65F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7886388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2D18606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3EA4CF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4E97B57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17287CB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B36492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0CA0FD7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07458B6B" w14:textId="77777777" w:rsidR="00B1167E" w:rsidRPr="004D535B" w:rsidRDefault="00B1167E" w:rsidP="00B1167E">
      <w:pPr>
        <w:spacing w:before="120" w:after="120"/>
        <w:rPr>
          <w:rFonts w:cstheme="minorHAnsi"/>
          <w:b/>
          <w:bCs/>
          <w:sz w:val="21"/>
          <w:szCs w:val="21"/>
          <w:lang w:val="en-US"/>
        </w:rPr>
      </w:pPr>
    </w:p>
    <w:p w14:paraId="120242EB"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16"/>
        <w:gridCol w:w="6988"/>
      </w:tblGrid>
      <w:tr w:rsidR="00B1167E" w:rsidRPr="004D535B" w14:paraId="520C90F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BCDE9F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2594A1B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154893F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722495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09657BB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r w:rsidR="00B1167E" w:rsidRPr="004D535B" w14:paraId="48E6537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C606AA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39E95ECB"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available.</w:t>
            </w:r>
          </w:p>
        </w:tc>
      </w:tr>
    </w:tbl>
    <w:p w14:paraId="471C94CF"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1258"/>
        <w:gridCol w:w="1974"/>
        <w:gridCol w:w="1822"/>
      </w:tblGrid>
      <w:tr w:rsidR="00B1167E" w:rsidRPr="004D535B" w14:paraId="37038F00"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E8592DB" w14:textId="77777777" w:rsidR="00B1167E" w:rsidRPr="004D535B" w:rsidRDefault="00B1167E"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ReleaseTitle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55FA43D" w14:textId="77777777" w:rsidR="00B1167E" w:rsidRPr="004D535B" w:rsidRDefault="00B1167E"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PlannedReleaseDate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12C9957" w14:textId="77777777" w:rsidR="00B1167E" w:rsidRPr="004D535B" w:rsidRDefault="00B1167E"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ActualReleaseDate</w:t>
            </w:r>
            <w:proofErr w:type="spellEnd"/>
          </w:p>
        </w:tc>
      </w:tr>
      <w:tr w:rsidR="00B1167E" w:rsidRPr="004D535B" w14:paraId="31FCBBD6" w14:textId="77777777" w:rsidTr="008B07DF">
        <w:tc>
          <w:tcPr>
            <w:tcW w:w="0" w:type="auto"/>
            <w:shd w:val="clear" w:color="auto" w:fill="F9F9F9"/>
            <w:vAlign w:val="center"/>
            <w:hideMark/>
          </w:tcPr>
          <w:p w14:paraId="1E91B829" w14:textId="77777777" w:rsidR="00B1167E" w:rsidRPr="004D535B" w:rsidRDefault="00B1167E" w:rsidP="008B07DF">
            <w:pPr>
              <w:spacing w:after="0" w:line="240" w:lineRule="auto"/>
              <w:rPr>
                <w:rFonts w:eastAsia="Times New Roman" w:cstheme="minorHAnsi"/>
                <w:b/>
                <w:sz w:val="21"/>
                <w:szCs w:val="21"/>
                <w:lang w:val="en-US" w:eastAsia="en-GB"/>
              </w:rPr>
            </w:pPr>
          </w:p>
        </w:tc>
        <w:tc>
          <w:tcPr>
            <w:tcW w:w="0" w:type="auto"/>
            <w:shd w:val="clear" w:color="auto" w:fill="F9F9F9"/>
            <w:vAlign w:val="center"/>
            <w:hideMark/>
          </w:tcPr>
          <w:p w14:paraId="5752C978" w14:textId="77777777" w:rsidR="00B1167E" w:rsidRPr="004D535B" w:rsidRDefault="00B1167E" w:rsidP="008B07DF">
            <w:pPr>
              <w:spacing w:after="0" w:line="240" w:lineRule="auto"/>
              <w:rPr>
                <w:rFonts w:eastAsia="Times New Roman" w:cstheme="minorHAnsi"/>
                <w:sz w:val="21"/>
                <w:szCs w:val="21"/>
                <w:lang w:val="en-US" w:eastAsia="en-GB"/>
              </w:rPr>
            </w:pPr>
          </w:p>
        </w:tc>
        <w:tc>
          <w:tcPr>
            <w:tcW w:w="0" w:type="auto"/>
            <w:shd w:val="clear" w:color="auto" w:fill="F9F9F9"/>
            <w:vAlign w:val="center"/>
            <w:hideMark/>
          </w:tcPr>
          <w:p w14:paraId="1E07F2DD" w14:textId="77777777" w:rsidR="00B1167E" w:rsidRPr="004D535B" w:rsidRDefault="00B1167E" w:rsidP="008B07DF">
            <w:pPr>
              <w:spacing w:after="0" w:line="240" w:lineRule="auto"/>
              <w:rPr>
                <w:rFonts w:eastAsia="Times New Roman" w:cstheme="minorHAnsi"/>
                <w:sz w:val="21"/>
                <w:szCs w:val="21"/>
                <w:lang w:val="en-US" w:eastAsia="en-GB"/>
              </w:rPr>
            </w:pPr>
          </w:p>
        </w:tc>
      </w:tr>
    </w:tbl>
    <w:p w14:paraId="47BED962"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7FA659DE"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690"/>
        <w:gridCol w:w="6714"/>
      </w:tblGrid>
      <w:tr w:rsidR="00B1167E" w:rsidRPr="004D535B" w14:paraId="282C1F5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BD28E9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47B5E55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1F321F3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FB9F85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5C78BE8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16B87DC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0E4DA4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46967FF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Census survey program</w:t>
            </w:r>
          </w:p>
        </w:tc>
      </w:tr>
      <w:tr w:rsidR="00B1167E" w:rsidRPr="004D535B" w14:paraId="25152C5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EBDFA9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1943F8C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5FACD14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03E54D7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0EDA6CD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6C8DF89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3. DESIGN COLLECTION</w:t>
            </w:r>
          </w:p>
          <w:p w14:paraId="1D8701E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5F60487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0BC9DA4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59C67FD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2F2477D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roles and processes below. Each process describes who is doing what, input, output, </w:t>
            </w:r>
            <w:proofErr w:type="gramStart"/>
            <w:r w:rsidRPr="004D535B">
              <w:rPr>
                <w:rFonts w:eastAsia="Times New Roman" w:cstheme="minorHAnsi"/>
                <w:sz w:val="21"/>
                <w:szCs w:val="21"/>
                <w:lang w:val="en-US" w:eastAsia="en-GB"/>
              </w:rPr>
              <w:t>tools</w:t>
            </w:r>
            <w:proofErr w:type="gramEnd"/>
            <w:r w:rsidRPr="004D535B">
              <w:rPr>
                <w:rFonts w:eastAsia="Times New Roman" w:cstheme="minorHAnsi"/>
                <w:sz w:val="21"/>
                <w:szCs w:val="21"/>
                <w:lang w:val="en-US" w:eastAsia="en-GB"/>
              </w:rPr>
              <w:t xml:space="preserve"> and specific methodology aspects. See also description of IT solution (general)</w:t>
            </w:r>
          </w:p>
        </w:tc>
      </w:tr>
      <w:tr w:rsidR="00B1167E" w:rsidRPr="004D535B" w14:paraId="1EE8FF4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85223C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42324E0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B95DCE5"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095"/>
        <w:gridCol w:w="3463"/>
        <w:gridCol w:w="3846"/>
      </w:tblGrid>
      <w:tr w:rsidR="00B1167E" w:rsidRPr="004D535B" w14:paraId="66DD4F09"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F482D6E" w14:textId="77777777" w:rsidR="00B1167E" w:rsidRPr="004D535B" w:rsidRDefault="00B1167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F03D90F" w14:textId="77777777" w:rsidR="00B1167E" w:rsidRPr="004D535B" w:rsidRDefault="00B1167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1AAF748" w14:textId="77777777" w:rsidR="00B1167E" w:rsidRPr="004D535B" w:rsidRDefault="00B1167E"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B1167E" w:rsidRPr="004D535B" w14:paraId="6FD44448"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532DE9DB"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23714B61"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4C65936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780CE1BF"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D4C8002"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3AD79E5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7CE1A892"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46354582"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13D4E3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47EDF76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0F3A2F4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2D5E6DB6"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04B8705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roles HQ (IT etc.)</w:t>
            </w:r>
          </w:p>
        </w:tc>
        <w:tc>
          <w:tcPr>
            <w:tcW w:w="0" w:type="auto"/>
            <w:tcBorders>
              <w:top w:val="single" w:sz="6" w:space="0" w:color="DDDDDD"/>
            </w:tcBorders>
            <w:shd w:val="clear" w:color="auto" w:fill="auto"/>
            <w:tcMar>
              <w:top w:w="120" w:type="dxa"/>
              <w:left w:w="120" w:type="dxa"/>
              <w:bottom w:w="120" w:type="dxa"/>
              <w:right w:w="120" w:type="dxa"/>
            </w:tcMar>
            <w:hideMark/>
          </w:tcPr>
          <w:p w14:paraId="32BA3A22"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2D54E83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11735645"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AA3BB22"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164EBCE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Enumerators Supervisors ensuring quality of enumeration</w:t>
            </w:r>
          </w:p>
        </w:tc>
        <w:tc>
          <w:tcPr>
            <w:tcW w:w="0" w:type="auto"/>
            <w:tcBorders>
              <w:top w:val="single" w:sz="6" w:space="0" w:color="DDDDDD"/>
            </w:tcBorders>
            <w:shd w:val="clear" w:color="auto" w:fill="F9F9F9"/>
            <w:tcMar>
              <w:top w:w="120" w:type="dxa"/>
              <w:left w:w="120" w:type="dxa"/>
              <w:bottom w:w="120" w:type="dxa"/>
              <w:right w:w="120" w:type="dxa"/>
            </w:tcMar>
            <w:hideMark/>
          </w:tcPr>
          <w:p w14:paraId="65B2A51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10C1476C"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61DDB01B"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448"/>
        <w:gridCol w:w="6956"/>
      </w:tblGrid>
      <w:tr w:rsidR="00B1167E" w:rsidRPr="004D535B" w14:paraId="01C2E3F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0B9ECA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47B88B46" w14:textId="77777777" w:rsidR="00B1167E" w:rsidRPr="00AA45AD" w:rsidRDefault="00B1167E" w:rsidP="00B1167E">
            <w:pPr>
              <w:numPr>
                <w:ilvl w:val="0"/>
                <w:numId w:val="19"/>
              </w:numPr>
              <w:spacing w:after="0" w:line="240" w:lineRule="auto"/>
              <w:rPr>
                <w:rFonts w:eastAsia="Times New Roman" w:cstheme="minorHAnsi"/>
                <w:sz w:val="21"/>
                <w:szCs w:val="21"/>
                <w:lang w:val="fr-FR" w:eastAsia="en-GB"/>
              </w:rPr>
            </w:pPr>
            <w:proofErr w:type="spellStart"/>
            <w:r w:rsidRPr="00AA45AD">
              <w:rPr>
                <w:rFonts w:eastAsia="Times New Roman" w:cstheme="minorHAnsi"/>
                <w:sz w:val="21"/>
                <w:szCs w:val="21"/>
                <w:lang w:val="fr-FR" w:eastAsia="en-GB"/>
              </w:rPr>
              <w:t>Subject</w:t>
            </w:r>
            <w:proofErr w:type="spellEnd"/>
            <w:r w:rsidRPr="00AA45AD">
              <w:rPr>
                <w:rFonts w:eastAsia="Times New Roman" w:cstheme="minorHAnsi"/>
                <w:sz w:val="21"/>
                <w:szCs w:val="21"/>
                <w:lang w:val="fr-FR" w:eastAsia="en-GB"/>
              </w:rPr>
              <w:t xml:space="preserve"> </w:t>
            </w:r>
            <w:proofErr w:type="spellStart"/>
            <w:r w:rsidRPr="00AA45AD">
              <w:rPr>
                <w:rFonts w:eastAsia="Times New Roman" w:cstheme="minorHAnsi"/>
                <w:sz w:val="21"/>
                <w:szCs w:val="21"/>
                <w:lang w:val="fr-FR" w:eastAsia="en-GB"/>
              </w:rPr>
              <w:t>matter</w:t>
            </w:r>
            <w:proofErr w:type="spellEnd"/>
            <w:r w:rsidRPr="00AA45AD">
              <w:rPr>
                <w:rFonts w:eastAsia="Times New Roman" w:cstheme="minorHAnsi"/>
                <w:sz w:val="21"/>
                <w:szCs w:val="21"/>
                <w:lang w:val="fr-FR" w:eastAsia="en-GB"/>
              </w:rPr>
              <w:t xml:space="preserve"> </w:t>
            </w:r>
            <w:proofErr w:type="spellStart"/>
            <w:r w:rsidRPr="00AA45AD">
              <w:rPr>
                <w:rFonts w:eastAsia="Times New Roman" w:cstheme="minorHAnsi"/>
                <w:sz w:val="21"/>
                <w:szCs w:val="21"/>
                <w:lang w:val="fr-FR" w:eastAsia="en-GB"/>
              </w:rPr>
              <w:t>specialist</w:t>
            </w:r>
            <w:proofErr w:type="spellEnd"/>
            <w:r w:rsidRPr="00AA45AD">
              <w:rPr>
                <w:rFonts w:eastAsia="Times New Roman" w:cstheme="minorHAnsi"/>
                <w:sz w:val="21"/>
                <w:szCs w:val="21"/>
                <w:lang w:val="fr-FR" w:eastAsia="en-GB"/>
              </w:rPr>
              <w:t xml:space="preserve"> </w:t>
            </w:r>
            <w:proofErr w:type="spellStart"/>
            <w:r w:rsidRPr="00AA45AD">
              <w:rPr>
                <w:rFonts w:eastAsia="Times New Roman" w:cstheme="minorHAnsi"/>
                <w:sz w:val="21"/>
                <w:szCs w:val="21"/>
                <w:lang w:val="fr-FR" w:eastAsia="en-GB"/>
              </w:rPr>
              <w:t>prepares</w:t>
            </w:r>
            <w:proofErr w:type="spellEnd"/>
            <w:r w:rsidRPr="00AA45AD">
              <w:rPr>
                <w:rFonts w:eastAsia="Times New Roman" w:cstheme="minorHAnsi"/>
                <w:sz w:val="21"/>
                <w:szCs w:val="21"/>
                <w:lang w:val="fr-FR" w:eastAsia="en-GB"/>
              </w:rPr>
              <w:t xml:space="preserve"> data </w:t>
            </w:r>
            <w:proofErr w:type="gramStart"/>
            <w:r w:rsidRPr="00AA45AD">
              <w:rPr>
                <w:rFonts w:eastAsia="Times New Roman" w:cstheme="minorHAnsi"/>
                <w:sz w:val="21"/>
                <w:szCs w:val="21"/>
                <w:lang w:val="fr-FR" w:eastAsia="en-GB"/>
              </w:rPr>
              <w:t>collection:</w:t>
            </w:r>
            <w:proofErr w:type="gramEnd"/>
            <w:r w:rsidRPr="00AA45AD">
              <w:rPr>
                <w:rFonts w:eastAsia="Times New Roman" w:cstheme="minorHAnsi"/>
                <w:sz w:val="21"/>
                <w:szCs w:val="21"/>
                <w:lang w:val="fr-FR" w:eastAsia="en-GB"/>
              </w:rPr>
              <w:t xml:space="preserve"> questionnaires, plans etc.</w:t>
            </w:r>
          </w:p>
          <w:p w14:paraId="0DC3D6A6" w14:textId="77777777" w:rsidR="00B1167E" w:rsidRPr="004D535B" w:rsidRDefault="00B1167E" w:rsidP="00B1167E">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uses paper questionnaire to collect data.</w:t>
            </w:r>
          </w:p>
          <w:p w14:paraId="2D0E4618" w14:textId="77777777" w:rsidR="00B1167E" w:rsidRPr="004D535B" w:rsidRDefault="00B1167E" w:rsidP="00B1167E">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and send questionnaire by post / transport to the headquarters for data transcription? (Or is the data transcription done at the district level).</w:t>
            </w:r>
          </w:p>
          <w:p w14:paraId="17A3CB81" w14:textId="77777777" w:rsidR="00B1167E" w:rsidRPr="004D535B" w:rsidRDefault="00B1167E" w:rsidP="00B1167E">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HQ staff do data capture</w:t>
            </w:r>
          </w:p>
        </w:tc>
      </w:tr>
      <w:tr w:rsidR="00B1167E" w:rsidRPr="004D535B" w14:paraId="574BDCC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CB034E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7EE94D6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Directory, </w:t>
            </w:r>
            <w:proofErr w:type="gramStart"/>
            <w:r w:rsidRPr="004D535B">
              <w:rPr>
                <w:rFonts w:eastAsia="Times New Roman" w:cstheme="minorHAnsi"/>
                <w:sz w:val="21"/>
                <w:szCs w:val="21"/>
                <w:lang w:val="en-US" w:eastAsia="en-GB"/>
              </w:rPr>
              <w:t>questionnaires</w:t>
            </w:r>
            <w:proofErr w:type="gramEnd"/>
            <w:r w:rsidRPr="004D535B">
              <w:rPr>
                <w:rFonts w:eastAsia="Times New Roman" w:cstheme="minorHAnsi"/>
                <w:sz w:val="21"/>
                <w:szCs w:val="21"/>
                <w:lang w:val="en-US" w:eastAsia="en-GB"/>
              </w:rPr>
              <w:t xml:space="preserve"> and tools for data capture designed and tested in the design and build phase</w:t>
            </w:r>
          </w:p>
        </w:tc>
      </w:tr>
      <w:tr w:rsidR="00B1167E" w:rsidRPr="004D535B" w14:paraId="09C382E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460E50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6440171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Directory information, completed paper questionnaires, Input data in </w:t>
            </w:r>
            <w:proofErr w:type="spellStart"/>
            <w:r w:rsidRPr="004D535B">
              <w:rPr>
                <w:rFonts w:eastAsia="Times New Roman" w:cstheme="minorHAnsi"/>
                <w:sz w:val="21"/>
                <w:szCs w:val="21"/>
                <w:lang w:val="en-US" w:eastAsia="en-GB"/>
              </w:rPr>
              <w:t>CSPro</w:t>
            </w:r>
            <w:proofErr w:type="spellEnd"/>
            <w:r w:rsidRPr="004D535B">
              <w:rPr>
                <w:rFonts w:eastAsia="Times New Roman" w:cstheme="minorHAnsi"/>
                <w:sz w:val="21"/>
                <w:szCs w:val="21"/>
                <w:lang w:val="en-US" w:eastAsia="en-GB"/>
              </w:rPr>
              <w:t xml:space="preserve"> / Stata / SPSS</w:t>
            </w:r>
          </w:p>
        </w:tc>
      </w:tr>
      <w:tr w:rsidR="00B1167E" w:rsidRPr="004D535B" w14:paraId="05D6221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C80FFA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6BDC848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B1167E" w:rsidRPr="004D535B" w14:paraId="2650C10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2E6926B"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28BBFF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w:t>
            </w:r>
            <w:proofErr w:type="spellStart"/>
            <w:r w:rsidRPr="004D535B">
              <w:rPr>
                <w:rFonts w:eastAsia="Times New Roman" w:cstheme="minorHAnsi"/>
                <w:sz w:val="21"/>
                <w:szCs w:val="21"/>
                <w:lang w:val="en-US" w:eastAsia="en-GB"/>
              </w:rPr>
              <w:t>CSpro</w:t>
            </w:r>
            <w:proofErr w:type="spellEnd"/>
            <w:r w:rsidRPr="004D535B">
              <w:rPr>
                <w:rFonts w:eastAsia="Times New Roman" w:cstheme="minorHAnsi"/>
                <w:sz w:val="21"/>
                <w:szCs w:val="21"/>
                <w:lang w:val="en-US" w:eastAsia="en-GB"/>
              </w:rPr>
              <w:t>), SPSS, STATA</w:t>
            </w:r>
          </w:p>
        </w:tc>
      </w:tr>
    </w:tbl>
    <w:p w14:paraId="0308EC0E"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B1167E" w:rsidRPr="004D535B" w14:paraId="1279FF9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8547A6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2BE8866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do data editing</w:t>
            </w:r>
          </w:p>
        </w:tc>
      </w:tr>
      <w:tr w:rsidR="00B1167E" w:rsidRPr="00AA45AD" w14:paraId="482C2E7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D4F4C6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163346B4" w14:textId="77777777" w:rsidR="00B1167E" w:rsidRPr="009E464A" w:rsidRDefault="00B1167E"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 xml:space="preserve">Input database: Data file in </w:t>
            </w:r>
            <w:proofErr w:type="spellStart"/>
            <w:r w:rsidRPr="009E464A">
              <w:rPr>
                <w:rFonts w:eastAsia="Times New Roman" w:cstheme="minorHAnsi"/>
                <w:sz w:val="21"/>
                <w:szCs w:val="21"/>
                <w:lang w:val="it-IT" w:eastAsia="en-GB"/>
              </w:rPr>
              <w:t>CSPro</w:t>
            </w:r>
            <w:proofErr w:type="spellEnd"/>
          </w:p>
        </w:tc>
      </w:tr>
      <w:tr w:rsidR="00B1167E" w:rsidRPr="004D535B" w14:paraId="211B471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200A66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4DFDEA8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Clean database: Stata/SPSS files</w:t>
            </w:r>
          </w:p>
        </w:tc>
      </w:tr>
      <w:tr w:rsidR="00B1167E" w:rsidRPr="004D535B" w14:paraId="6288B06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E81FA9E"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4B78560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B1167E" w:rsidRPr="004D535B" w14:paraId="0A9887A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0E3DD7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30B4291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w:t>
            </w:r>
            <w:proofErr w:type="spellStart"/>
            <w:r w:rsidRPr="004D535B">
              <w:rPr>
                <w:rFonts w:eastAsia="Times New Roman" w:cstheme="minorHAnsi"/>
                <w:sz w:val="21"/>
                <w:szCs w:val="21"/>
                <w:lang w:val="en-US" w:eastAsia="en-GB"/>
              </w:rPr>
              <w:t>CSpro</w:t>
            </w:r>
            <w:proofErr w:type="spellEnd"/>
            <w:r w:rsidRPr="004D535B">
              <w:rPr>
                <w:rFonts w:eastAsia="Times New Roman" w:cstheme="minorHAnsi"/>
                <w:sz w:val="21"/>
                <w:szCs w:val="21"/>
                <w:lang w:val="en-US" w:eastAsia="en-GB"/>
              </w:rPr>
              <w:t>), SPSS, STATA</w:t>
            </w:r>
          </w:p>
        </w:tc>
      </w:tr>
    </w:tbl>
    <w:p w14:paraId="18982181"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B1167E" w:rsidRPr="004D535B" w14:paraId="0F4CD89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F4A089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763746B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specialists prepare tables, do </w:t>
            </w:r>
            <w:proofErr w:type="gramStart"/>
            <w:r w:rsidRPr="004D535B">
              <w:rPr>
                <w:rFonts w:eastAsia="Times New Roman" w:cstheme="minorHAnsi"/>
                <w:sz w:val="21"/>
                <w:szCs w:val="21"/>
                <w:lang w:val="en-US" w:eastAsia="en-GB"/>
              </w:rPr>
              <w:t>analysis</w:t>
            </w:r>
            <w:proofErr w:type="gramEnd"/>
          </w:p>
          <w:p w14:paraId="41A0C27B"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Technical committee reviews</w:t>
            </w:r>
          </w:p>
          <w:p w14:paraId="4F51C70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approves</w:t>
            </w:r>
          </w:p>
        </w:tc>
      </w:tr>
      <w:tr w:rsidR="00B1167E" w:rsidRPr="004D535B" w14:paraId="78CA823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21E0787"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2513846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processing phase, draft tabulation plan from design phase</w:t>
            </w:r>
          </w:p>
        </w:tc>
      </w:tr>
      <w:tr w:rsidR="00B1167E" w:rsidRPr="00AA45AD" w14:paraId="675EC38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BF3217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0956F0C1" w14:textId="77777777" w:rsidR="00B1167E" w:rsidRPr="009E464A" w:rsidRDefault="00B1167E" w:rsidP="008B07DF">
            <w:pPr>
              <w:spacing w:after="0" w:line="240" w:lineRule="auto"/>
              <w:rPr>
                <w:rFonts w:eastAsia="Times New Roman" w:cstheme="minorHAnsi"/>
                <w:sz w:val="21"/>
                <w:szCs w:val="21"/>
                <w:lang w:val="fr-FR" w:eastAsia="en-GB"/>
              </w:rPr>
            </w:pPr>
            <w:r w:rsidRPr="009E464A">
              <w:rPr>
                <w:rFonts w:eastAsia="Times New Roman" w:cstheme="minorHAnsi"/>
                <w:sz w:val="21"/>
                <w:szCs w:val="21"/>
                <w:lang w:val="fr-FR" w:eastAsia="en-GB"/>
              </w:rPr>
              <w:t xml:space="preserve">Output </w:t>
            </w:r>
            <w:proofErr w:type="spellStart"/>
            <w:proofErr w:type="gramStart"/>
            <w:r w:rsidRPr="009E464A">
              <w:rPr>
                <w:rFonts w:eastAsia="Times New Roman" w:cstheme="minorHAnsi"/>
                <w:sz w:val="21"/>
                <w:szCs w:val="21"/>
                <w:lang w:val="fr-FR" w:eastAsia="en-GB"/>
              </w:rPr>
              <w:t>database</w:t>
            </w:r>
            <w:proofErr w:type="spellEnd"/>
            <w:r w:rsidRPr="009E464A">
              <w:rPr>
                <w:rFonts w:eastAsia="Times New Roman" w:cstheme="minorHAnsi"/>
                <w:sz w:val="21"/>
                <w:szCs w:val="21"/>
                <w:lang w:val="fr-FR" w:eastAsia="en-GB"/>
              </w:rPr>
              <w:t>:</w:t>
            </w:r>
            <w:proofErr w:type="gramEnd"/>
            <w:r w:rsidRPr="009E464A">
              <w:rPr>
                <w:rFonts w:eastAsia="Times New Roman" w:cstheme="minorHAnsi"/>
                <w:sz w:val="21"/>
                <w:szCs w:val="21"/>
                <w:lang w:val="fr-FR" w:eastAsia="en-GB"/>
              </w:rPr>
              <w:t xml:space="preserve"> file, report etc.</w:t>
            </w:r>
          </w:p>
        </w:tc>
      </w:tr>
      <w:tr w:rsidR="00B1167E" w:rsidRPr="004D535B" w14:paraId="07ABD0E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97FDA5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78E86D0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B1167E" w:rsidRPr="004D535B" w14:paraId="006C8F0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57A17A4"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17E9D3B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Stata and word</w:t>
            </w:r>
          </w:p>
        </w:tc>
      </w:tr>
    </w:tbl>
    <w:p w14:paraId="5FB75D60"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B1167E" w:rsidRPr="004D535B" w14:paraId="304B5AA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8860C5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69930F3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 prepares press release with highlights and invite press for presentation of </w:t>
            </w:r>
            <w:proofErr w:type="gramStart"/>
            <w:r w:rsidRPr="004D535B">
              <w:rPr>
                <w:rFonts w:eastAsia="Times New Roman" w:cstheme="minorHAnsi"/>
                <w:sz w:val="21"/>
                <w:szCs w:val="21"/>
                <w:lang w:val="en-US" w:eastAsia="en-GB"/>
              </w:rPr>
              <w:t>results</w:t>
            </w:r>
            <w:proofErr w:type="gramEnd"/>
          </w:p>
          <w:p w14:paraId="49BC572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Meeting with press</w:t>
            </w:r>
          </w:p>
          <w:p w14:paraId="59682B4A"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 release report and update release calendar</w:t>
            </w:r>
          </w:p>
          <w:p w14:paraId="0C519199"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publishes press release</w:t>
            </w:r>
          </w:p>
        </w:tc>
      </w:tr>
      <w:tr w:rsidR="00B1167E" w:rsidRPr="004D535B" w14:paraId="51131BF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5E1516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3FFC674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analysis phase</w:t>
            </w:r>
          </w:p>
        </w:tc>
      </w:tr>
      <w:tr w:rsidR="00B1167E" w:rsidRPr="004D535B" w14:paraId="5A02F1A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52467E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40B4252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Approved report, pdf file at the website, press release </w:t>
            </w:r>
            <w:proofErr w:type="spellStart"/>
            <w:r w:rsidRPr="004D535B">
              <w:rPr>
                <w:rFonts w:eastAsia="Times New Roman" w:cstheme="minorHAnsi"/>
                <w:sz w:val="21"/>
                <w:szCs w:val="21"/>
                <w:lang w:val="en-US" w:eastAsia="en-GB"/>
              </w:rPr>
              <w:t>etc</w:t>
            </w:r>
            <w:proofErr w:type="spellEnd"/>
          </w:p>
        </w:tc>
      </w:tr>
      <w:tr w:rsidR="00B1167E" w:rsidRPr="004D535B" w14:paraId="3E5F89D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DFDB0B8"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487151E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B1167E" w:rsidRPr="004D535B" w14:paraId="7C123D6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238F50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0E1CA5D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purpose office tools and web tools</w:t>
            </w:r>
          </w:p>
        </w:tc>
      </w:tr>
    </w:tbl>
    <w:p w14:paraId="62CBA47D" w14:textId="77777777" w:rsidR="00B1167E" w:rsidRPr="004D535B" w:rsidRDefault="00B1167E" w:rsidP="00B1167E">
      <w:pPr>
        <w:spacing w:before="120" w:after="120"/>
        <w:rPr>
          <w:rFonts w:cstheme="minorHAnsi"/>
          <w:b/>
          <w:sz w:val="21"/>
          <w:szCs w:val="21"/>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B1167E" w:rsidRPr="004D535B" w14:paraId="35AC476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9722F3F"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6C8B4393"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3A1277A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D3B1A2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4F66E956"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5E52C87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1856C0D"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268F30E0"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B1167E" w:rsidRPr="004D535B" w14:paraId="72DD28F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8E1FEFC"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00FFDD65" w14:textId="77777777" w:rsidR="00B1167E" w:rsidRPr="004D535B" w:rsidRDefault="00B1167E"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B9A5D85"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62442F"/>
    <w:multiLevelType w:val="multilevel"/>
    <w:tmpl w:val="E0944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3"/>
  </w:num>
  <w:num w:numId="2" w16cid:durableId="1364209555">
    <w:abstractNumId w:val="6"/>
  </w:num>
  <w:num w:numId="3" w16cid:durableId="1689141400">
    <w:abstractNumId w:val="8"/>
  </w:num>
  <w:num w:numId="4" w16cid:durableId="312221770">
    <w:abstractNumId w:val="3"/>
  </w:num>
  <w:num w:numId="5" w16cid:durableId="136995151">
    <w:abstractNumId w:val="8"/>
  </w:num>
  <w:num w:numId="6" w16cid:durableId="1133405374">
    <w:abstractNumId w:val="8"/>
  </w:num>
  <w:num w:numId="7" w16cid:durableId="931206851">
    <w:abstractNumId w:val="4"/>
  </w:num>
  <w:num w:numId="8" w16cid:durableId="385297598">
    <w:abstractNumId w:val="3"/>
  </w:num>
  <w:num w:numId="9" w16cid:durableId="1139570028">
    <w:abstractNumId w:val="7"/>
  </w:num>
  <w:num w:numId="10" w16cid:durableId="230039541">
    <w:abstractNumId w:val="8"/>
  </w:num>
  <w:num w:numId="11" w16cid:durableId="1170295171">
    <w:abstractNumId w:val="8"/>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3"/>
  </w:num>
  <w:num w:numId="14" w16cid:durableId="1003052821">
    <w:abstractNumId w:val="8"/>
  </w:num>
  <w:num w:numId="15" w16cid:durableId="4022363">
    <w:abstractNumId w:val="8"/>
  </w:num>
  <w:num w:numId="16" w16cid:durableId="89396256">
    <w:abstractNumId w:val="5"/>
  </w:num>
  <w:num w:numId="17" w16cid:durableId="1120491912">
    <w:abstractNumId w:val="3"/>
  </w:num>
  <w:num w:numId="18" w16cid:durableId="1536041277">
    <w:abstractNumId w:val="1"/>
  </w:num>
  <w:num w:numId="19" w16cid:durableId="124160099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7E"/>
    <w:rsid w:val="000508C6"/>
    <w:rsid w:val="001F7C58"/>
    <w:rsid w:val="002440A6"/>
    <w:rsid w:val="002635EB"/>
    <w:rsid w:val="00476599"/>
    <w:rsid w:val="00526430"/>
    <w:rsid w:val="005C1CBB"/>
    <w:rsid w:val="005F0060"/>
    <w:rsid w:val="005F224F"/>
    <w:rsid w:val="00783473"/>
    <w:rsid w:val="00796C50"/>
    <w:rsid w:val="00870102"/>
    <w:rsid w:val="008A7A82"/>
    <w:rsid w:val="0090378E"/>
    <w:rsid w:val="009137C2"/>
    <w:rsid w:val="00932421"/>
    <w:rsid w:val="009962ED"/>
    <w:rsid w:val="009B6394"/>
    <w:rsid w:val="009D7F41"/>
    <w:rsid w:val="00A104BA"/>
    <w:rsid w:val="00AE3E8E"/>
    <w:rsid w:val="00AF1CA8"/>
    <w:rsid w:val="00AF72A4"/>
    <w:rsid w:val="00B1167E"/>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EA24"/>
  <w15:chartTrackingRefBased/>
  <w15:docId w15:val="{FF513186-A1B1-40A6-BA36-32E923D5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7E"/>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amp;ved=2ahUKEwicjo_NtZTyAhUpgf0HHeRICmoQFjAAegQIBBAD&amp;url=https%3A%2F%2Funstats.un.org%2Funsd%2Fdnss%2FdocViewer.aspx%3FdocID%3D1774&amp;usg=AOvVaw2aD1uHtaaYzcV2I4mAmV8N" TargetMode="External"/><Relationship Id="rId11" Type="http://schemas.openxmlformats.org/officeDocument/2006/relationships/customXml" Target="../customXml/item3.xml"/><Relationship Id="rId5" Type="http://schemas.openxmlformats.org/officeDocument/2006/relationships/hyperlink" Target="mailto:mohiuddin.bbs@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B4B4CA11-955C-4DEB-ACD1-44E14D735099}"/>
</file>

<file path=customXml/itemProps2.xml><?xml version="1.0" encoding="utf-8"?>
<ds:datastoreItem xmlns:ds="http://schemas.openxmlformats.org/officeDocument/2006/customXml" ds:itemID="{5A19EF87-1265-4B2A-94CE-5F8331B66CEE}"/>
</file>

<file path=customXml/itemProps3.xml><?xml version="1.0" encoding="utf-8"?>
<ds:datastoreItem xmlns:ds="http://schemas.openxmlformats.org/officeDocument/2006/customXml" ds:itemID="{C60E229F-F9D1-4F61-9F5E-4457956A947B}"/>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2023-06-28T12:34:00Z</dcterms:created>
  <dcterms:modified xsi:type="dcterms:W3CDTF">2023-06-28T12:34:00Z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